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0D3" w:rsidRPr="006570D3" w:rsidRDefault="006570D3" w:rsidP="006570D3">
      <w:pPr>
        <w:pStyle w:val="Default"/>
        <w:tabs>
          <w:tab w:val="left" w:pos="480"/>
          <w:tab w:val="left" w:pos="660"/>
          <w:tab w:val="center" w:pos="7002"/>
        </w:tabs>
        <w:rPr>
          <w:b/>
          <w:bCs/>
          <w:color w:val="FF0000"/>
          <w:sz w:val="36"/>
          <w:szCs w:val="36"/>
        </w:rPr>
      </w:pPr>
      <w:r>
        <w:rPr>
          <w:b/>
          <w:bCs/>
          <w:color w:val="FF0000"/>
          <w:sz w:val="22"/>
          <w:szCs w:val="22"/>
        </w:rPr>
        <w:tab/>
      </w:r>
      <w:r w:rsidRPr="006570D3">
        <w:rPr>
          <w:b/>
          <w:bCs/>
          <w:noProof/>
          <w:color w:val="FF0000"/>
          <w:sz w:val="22"/>
          <w:szCs w:val="22"/>
          <w:lang w:eastAsia="fr-FR"/>
        </w:rPr>
        <w:drawing>
          <wp:inline distT="0" distB="0" distL="0" distR="0">
            <wp:extent cx="878928" cy="457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595" cy="462749"/>
                    </a:xfrm>
                    <a:prstGeom prst="rect">
                      <a:avLst/>
                    </a:prstGeom>
                    <a:noFill/>
                    <a:ln>
                      <a:noFill/>
                    </a:ln>
                  </pic:spPr>
                </pic:pic>
              </a:graphicData>
            </a:graphic>
          </wp:inline>
        </w:drawing>
      </w:r>
      <w:r>
        <w:rPr>
          <w:b/>
          <w:bCs/>
          <w:color w:val="FF0000"/>
          <w:sz w:val="22"/>
          <w:szCs w:val="22"/>
        </w:rPr>
        <w:tab/>
      </w:r>
      <w:r w:rsidRPr="006570D3">
        <w:rPr>
          <w:b/>
          <w:bCs/>
          <w:color w:val="FF0000"/>
          <w:sz w:val="22"/>
          <w:szCs w:val="22"/>
        </w:rPr>
        <w:t>BAREME OFFICIEL DES HONORAIRES</w:t>
      </w:r>
    </w:p>
    <w:p w:rsidR="006570D3" w:rsidRDefault="006570D3" w:rsidP="004346AD">
      <w:pPr>
        <w:pStyle w:val="Default"/>
        <w:jc w:val="center"/>
        <w:rPr>
          <w:sz w:val="16"/>
          <w:szCs w:val="16"/>
        </w:rPr>
      </w:pPr>
      <w:r w:rsidRPr="004346AD">
        <w:rPr>
          <w:sz w:val="16"/>
          <w:szCs w:val="16"/>
        </w:rPr>
        <w:t>Applicable à compter du 01 Juin 2022</w:t>
      </w:r>
    </w:p>
    <w:p w:rsidR="004346AD" w:rsidRPr="004346AD" w:rsidRDefault="004346AD" w:rsidP="004346AD">
      <w:pPr>
        <w:pStyle w:val="Default"/>
        <w:jc w:val="center"/>
        <w:rPr>
          <w:sz w:val="16"/>
          <w:szCs w:val="16"/>
        </w:rPr>
      </w:pPr>
    </w:p>
    <w:p w:rsidR="006570D3" w:rsidRPr="004346AD" w:rsidRDefault="006570D3" w:rsidP="006570D3">
      <w:pPr>
        <w:pStyle w:val="Default"/>
        <w:jc w:val="center"/>
        <w:rPr>
          <w:sz w:val="20"/>
          <w:szCs w:val="20"/>
        </w:rPr>
      </w:pPr>
      <w:r w:rsidRPr="004346AD">
        <w:rPr>
          <w:sz w:val="20"/>
          <w:szCs w:val="20"/>
        </w:rPr>
        <w:t>Montants TTC (T.V.A à 20%), calculé sur le montant de la transaction réalisée hors honoraires. Ces honoraires comprennent le suivi du dossier jusqu’à la réitération de l’acte authentique. Les prix affichés dans nos vitrines et nos publicités s’entendent « Frais d’Agence Inclus ». Les honoraires sont à la charge de l’Acquéreur.</w:t>
      </w:r>
    </w:p>
    <w:p w:rsidR="006570D3" w:rsidRDefault="006570D3" w:rsidP="006570D3">
      <w:pPr>
        <w:pStyle w:val="Default"/>
        <w:jc w:val="center"/>
        <w:rPr>
          <w:sz w:val="22"/>
          <w:szCs w:val="22"/>
        </w:rPr>
      </w:pPr>
    </w:p>
    <w:p w:rsidR="00B10210" w:rsidRPr="006570D3" w:rsidRDefault="00B10210" w:rsidP="006570D3">
      <w:pPr>
        <w:pStyle w:val="Default"/>
        <w:jc w:val="center"/>
        <w:rPr>
          <w:sz w:val="22"/>
          <w:szCs w:val="22"/>
        </w:rPr>
      </w:pPr>
    </w:p>
    <w:p w:rsidR="004346AD" w:rsidRDefault="006570D3" w:rsidP="004346AD">
      <w:pPr>
        <w:jc w:val="center"/>
        <w:rPr>
          <w:b/>
          <w:bCs/>
          <w:color w:val="FF0000"/>
        </w:rPr>
      </w:pPr>
      <w:r w:rsidRPr="004346AD">
        <w:rPr>
          <w:b/>
          <w:bCs/>
          <w:color w:val="FF0000"/>
        </w:rPr>
        <w:t>LES HONORAIRES ET LES FRAIS NE SONT PAS DUS AVANT LA CONCLUSION D’UN CONTRAT</w:t>
      </w:r>
    </w:p>
    <w:p w:rsidR="00B10210" w:rsidRPr="004346AD" w:rsidRDefault="00B10210" w:rsidP="004346AD">
      <w:pPr>
        <w:jc w:val="center"/>
        <w:rPr>
          <w:b/>
          <w:bCs/>
          <w:color w:val="FF0000"/>
        </w:rPr>
      </w:pPr>
    </w:p>
    <w:tbl>
      <w:tblPr>
        <w:tblStyle w:val="GridTable1Light"/>
        <w:tblW w:w="0" w:type="auto"/>
        <w:tblLook w:val="04A0" w:firstRow="1" w:lastRow="0" w:firstColumn="1" w:lastColumn="0" w:noHBand="0" w:noVBand="1"/>
      </w:tblPr>
      <w:tblGrid>
        <w:gridCol w:w="13994"/>
      </w:tblGrid>
      <w:tr w:rsidR="006570D3" w:rsidTr="006570D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3994" w:type="dxa"/>
          </w:tcPr>
          <w:p w:rsidR="006570D3" w:rsidRPr="006570D3" w:rsidRDefault="006570D3" w:rsidP="006570D3">
            <w:pPr>
              <w:jc w:val="center"/>
              <w:rPr>
                <w:sz w:val="32"/>
                <w:szCs w:val="32"/>
                <w:u w:val="single"/>
              </w:rPr>
            </w:pPr>
            <w:r w:rsidRPr="006570D3">
              <w:rPr>
                <w:color w:val="FF0000"/>
                <w:sz w:val="32"/>
                <w:szCs w:val="32"/>
                <w:u w:val="single"/>
              </w:rPr>
              <w:t>SERVICE TRANSACTION</w:t>
            </w:r>
          </w:p>
        </w:tc>
      </w:tr>
    </w:tbl>
    <w:tbl>
      <w:tblPr>
        <w:tblStyle w:val="Grilledutableau"/>
        <w:tblW w:w="0" w:type="auto"/>
        <w:tblLook w:val="04A0" w:firstRow="1" w:lastRow="0" w:firstColumn="1" w:lastColumn="0" w:noHBand="0" w:noVBand="1"/>
      </w:tblPr>
      <w:tblGrid>
        <w:gridCol w:w="6997"/>
        <w:gridCol w:w="6997"/>
      </w:tblGrid>
      <w:tr w:rsidR="004346AD" w:rsidTr="004346AD">
        <w:tc>
          <w:tcPr>
            <w:tcW w:w="6997" w:type="dxa"/>
          </w:tcPr>
          <w:p w:rsidR="004346AD" w:rsidRDefault="007C2E34" w:rsidP="006570D3">
            <w:r>
              <w:t xml:space="preserve">Garage et aux stationnements </w:t>
            </w:r>
          </w:p>
        </w:tc>
        <w:tc>
          <w:tcPr>
            <w:tcW w:w="6997" w:type="dxa"/>
          </w:tcPr>
          <w:p w:rsidR="004346AD" w:rsidRDefault="007C2E34" w:rsidP="003A1295">
            <w:pPr>
              <w:jc w:val="center"/>
            </w:pPr>
            <w:r>
              <w:t>Forfait  4</w:t>
            </w:r>
            <w:r w:rsidR="003A1295">
              <w:t xml:space="preserve"> </w:t>
            </w:r>
            <w:r>
              <w:t xml:space="preserve">000 € </w:t>
            </w:r>
            <w:r w:rsidR="003A1295">
              <w:t xml:space="preserve">   </w:t>
            </w:r>
            <w:r>
              <w:t>TTC</w:t>
            </w:r>
          </w:p>
        </w:tc>
      </w:tr>
      <w:tr w:rsidR="004346AD" w:rsidTr="004346AD">
        <w:tc>
          <w:tcPr>
            <w:tcW w:w="6997" w:type="dxa"/>
          </w:tcPr>
          <w:p w:rsidR="004346AD" w:rsidRDefault="007C2E34" w:rsidP="003A1295">
            <w:pPr>
              <w:jc w:val="center"/>
            </w:pPr>
            <w:r>
              <w:t>De 0.00 € à 50.000,00 €</w:t>
            </w:r>
          </w:p>
        </w:tc>
        <w:tc>
          <w:tcPr>
            <w:tcW w:w="6997" w:type="dxa"/>
          </w:tcPr>
          <w:p w:rsidR="004346AD" w:rsidRDefault="003A1295" w:rsidP="003A1295">
            <w:pPr>
              <w:jc w:val="center"/>
            </w:pPr>
            <w:r>
              <w:t>Forfait 5 000 €    TTC</w:t>
            </w:r>
          </w:p>
        </w:tc>
      </w:tr>
      <w:tr w:rsidR="004346AD" w:rsidTr="004346AD">
        <w:tc>
          <w:tcPr>
            <w:tcW w:w="6997" w:type="dxa"/>
          </w:tcPr>
          <w:p w:rsidR="007C2E34" w:rsidRDefault="007C2E34" w:rsidP="003A1295">
            <w:pPr>
              <w:jc w:val="center"/>
            </w:pPr>
            <w:r>
              <w:t>De 50 000,01 € à 250.000 €</w:t>
            </w:r>
          </w:p>
        </w:tc>
        <w:tc>
          <w:tcPr>
            <w:tcW w:w="6997" w:type="dxa"/>
          </w:tcPr>
          <w:p w:rsidR="004346AD" w:rsidRDefault="003A1295" w:rsidP="003A1295">
            <w:pPr>
              <w:jc w:val="center"/>
            </w:pPr>
            <w:r>
              <w:t>9 %        TTC</w:t>
            </w:r>
          </w:p>
        </w:tc>
      </w:tr>
      <w:tr w:rsidR="004346AD" w:rsidTr="004346AD">
        <w:tc>
          <w:tcPr>
            <w:tcW w:w="6997" w:type="dxa"/>
          </w:tcPr>
          <w:p w:rsidR="004346AD" w:rsidRDefault="007C2E34" w:rsidP="003A1295">
            <w:pPr>
              <w:jc w:val="center"/>
            </w:pPr>
            <w:r>
              <w:t>De 250 000,01 € à 350 000,00 €</w:t>
            </w:r>
          </w:p>
        </w:tc>
        <w:tc>
          <w:tcPr>
            <w:tcW w:w="6997" w:type="dxa"/>
          </w:tcPr>
          <w:p w:rsidR="004346AD" w:rsidRDefault="003A1295" w:rsidP="003A1295">
            <w:pPr>
              <w:jc w:val="center"/>
            </w:pPr>
            <w:r>
              <w:t>7 %       TTC</w:t>
            </w:r>
          </w:p>
        </w:tc>
      </w:tr>
      <w:tr w:rsidR="004346AD" w:rsidTr="004346AD">
        <w:tc>
          <w:tcPr>
            <w:tcW w:w="6997" w:type="dxa"/>
          </w:tcPr>
          <w:p w:rsidR="004346AD" w:rsidRDefault="007C2E34" w:rsidP="003A1295">
            <w:pPr>
              <w:jc w:val="center"/>
            </w:pPr>
            <w:r>
              <w:t>De 350 000,01 € à 580 000,00 €</w:t>
            </w:r>
          </w:p>
        </w:tc>
        <w:tc>
          <w:tcPr>
            <w:tcW w:w="6997" w:type="dxa"/>
          </w:tcPr>
          <w:p w:rsidR="004346AD" w:rsidRDefault="003A1295" w:rsidP="003A1295">
            <w:pPr>
              <w:jc w:val="center"/>
            </w:pPr>
            <w:r>
              <w:t>6.5 %     TTC</w:t>
            </w:r>
          </w:p>
        </w:tc>
      </w:tr>
      <w:tr w:rsidR="004346AD" w:rsidTr="004346AD">
        <w:tc>
          <w:tcPr>
            <w:tcW w:w="6997" w:type="dxa"/>
          </w:tcPr>
          <w:p w:rsidR="004346AD" w:rsidRDefault="007C2E34" w:rsidP="003A1295">
            <w:pPr>
              <w:jc w:val="center"/>
            </w:pPr>
            <w:r>
              <w:t xml:space="preserve">De </w:t>
            </w:r>
            <w:r w:rsidR="003A1295">
              <w:t>580 000,01 € à 650 000,00 €</w:t>
            </w:r>
          </w:p>
        </w:tc>
        <w:tc>
          <w:tcPr>
            <w:tcW w:w="6997" w:type="dxa"/>
          </w:tcPr>
          <w:p w:rsidR="004346AD" w:rsidRDefault="003A1295" w:rsidP="003A1295">
            <w:pPr>
              <w:jc w:val="center"/>
            </w:pPr>
            <w:r>
              <w:t>5 %       TTC</w:t>
            </w:r>
          </w:p>
        </w:tc>
      </w:tr>
      <w:tr w:rsidR="004346AD" w:rsidTr="004346AD">
        <w:tc>
          <w:tcPr>
            <w:tcW w:w="6997" w:type="dxa"/>
          </w:tcPr>
          <w:p w:rsidR="004346AD" w:rsidRDefault="003A1295" w:rsidP="003A1295">
            <w:pPr>
              <w:jc w:val="center"/>
            </w:pPr>
            <w:r>
              <w:t>650 000,01 € à 950 000,00 €</w:t>
            </w:r>
          </w:p>
        </w:tc>
        <w:tc>
          <w:tcPr>
            <w:tcW w:w="6997" w:type="dxa"/>
          </w:tcPr>
          <w:p w:rsidR="004346AD" w:rsidRDefault="003A1295" w:rsidP="003A1295">
            <w:pPr>
              <w:jc w:val="center"/>
            </w:pPr>
            <w:r>
              <w:t>4 %       TTC</w:t>
            </w:r>
          </w:p>
        </w:tc>
      </w:tr>
      <w:tr w:rsidR="004346AD" w:rsidTr="004346AD">
        <w:tc>
          <w:tcPr>
            <w:tcW w:w="6997" w:type="dxa"/>
          </w:tcPr>
          <w:p w:rsidR="004346AD" w:rsidRDefault="003A1295" w:rsidP="003A1295">
            <w:pPr>
              <w:jc w:val="center"/>
            </w:pPr>
            <w:r>
              <w:t>950 000,00 € et plus</w:t>
            </w:r>
          </w:p>
        </w:tc>
        <w:tc>
          <w:tcPr>
            <w:tcW w:w="6997" w:type="dxa"/>
          </w:tcPr>
          <w:p w:rsidR="004346AD" w:rsidRDefault="003A1295" w:rsidP="003A1295">
            <w:pPr>
              <w:jc w:val="center"/>
            </w:pPr>
            <w:r>
              <w:t>7.5 %       TTC</w:t>
            </w:r>
          </w:p>
        </w:tc>
      </w:tr>
    </w:tbl>
    <w:p w:rsidR="00B10210" w:rsidRDefault="00B10210" w:rsidP="004346AD">
      <w:pPr>
        <w:pStyle w:val="Default"/>
        <w:tabs>
          <w:tab w:val="left" w:pos="708"/>
          <w:tab w:val="left" w:pos="5220"/>
        </w:tabs>
        <w:jc w:val="center"/>
        <w:rPr>
          <w:color w:val="FF0000"/>
          <w:sz w:val="20"/>
          <w:szCs w:val="20"/>
        </w:rPr>
      </w:pPr>
    </w:p>
    <w:p w:rsidR="00B10210" w:rsidRDefault="00B10210" w:rsidP="004346AD">
      <w:pPr>
        <w:pStyle w:val="Default"/>
        <w:tabs>
          <w:tab w:val="left" w:pos="708"/>
          <w:tab w:val="left" w:pos="5220"/>
        </w:tabs>
        <w:jc w:val="center"/>
        <w:rPr>
          <w:color w:val="FF0000"/>
          <w:sz w:val="20"/>
          <w:szCs w:val="20"/>
        </w:rPr>
      </w:pPr>
    </w:p>
    <w:p w:rsidR="006570D3" w:rsidRDefault="004346AD" w:rsidP="004346AD">
      <w:pPr>
        <w:pStyle w:val="Default"/>
        <w:tabs>
          <w:tab w:val="left" w:pos="708"/>
          <w:tab w:val="left" w:pos="5220"/>
        </w:tabs>
        <w:jc w:val="center"/>
        <w:rPr>
          <w:color w:val="FF0000"/>
          <w:sz w:val="20"/>
          <w:szCs w:val="20"/>
        </w:rPr>
      </w:pPr>
      <w:r w:rsidRPr="004346AD">
        <w:rPr>
          <w:color w:val="FF0000"/>
          <w:sz w:val="20"/>
          <w:szCs w:val="20"/>
        </w:rPr>
        <w:t>En cas de délégation de mandat, les honoraires</w:t>
      </w:r>
      <w:r w:rsidR="00256963">
        <w:rPr>
          <w:color w:val="FF0000"/>
          <w:sz w:val="20"/>
          <w:szCs w:val="20"/>
        </w:rPr>
        <w:t xml:space="preserve"> appliqués</w:t>
      </w:r>
      <w:r w:rsidRPr="004346AD">
        <w:rPr>
          <w:color w:val="FF0000"/>
          <w:sz w:val="20"/>
          <w:szCs w:val="20"/>
        </w:rPr>
        <w:t xml:space="preserve"> seront ceux de l’Agence détentrice du mandat initial.</w:t>
      </w:r>
    </w:p>
    <w:p w:rsidR="005042E1" w:rsidRDefault="005042E1" w:rsidP="004346AD">
      <w:pPr>
        <w:pStyle w:val="Default"/>
        <w:tabs>
          <w:tab w:val="left" w:pos="708"/>
          <w:tab w:val="left" w:pos="5220"/>
        </w:tabs>
        <w:jc w:val="center"/>
        <w:rPr>
          <w:color w:val="FF0000"/>
          <w:sz w:val="20"/>
          <w:szCs w:val="20"/>
        </w:rPr>
      </w:pPr>
    </w:p>
    <w:p w:rsidR="005042E1" w:rsidRPr="005042E1" w:rsidRDefault="005042E1" w:rsidP="005042E1"/>
    <w:p w:rsidR="00F11A24" w:rsidRDefault="00F11A24" w:rsidP="00F11A24">
      <w:pPr>
        <w:spacing w:after="0"/>
        <w:rPr>
          <w:sz w:val="18"/>
          <w:szCs w:val="18"/>
        </w:rPr>
      </w:pPr>
      <w:r w:rsidRPr="00F11A24">
        <w:rPr>
          <w:sz w:val="18"/>
          <w:szCs w:val="18"/>
        </w:rPr>
        <w:t>Agence du Centre Ovillois</w:t>
      </w:r>
      <w:r>
        <w:rPr>
          <w:sz w:val="18"/>
          <w:szCs w:val="18"/>
        </w:rPr>
        <w:t xml:space="preserve"> </w:t>
      </w:r>
    </w:p>
    <w:p w:rsidR="00F11A24" w:rsidRDefault="00F11A24" w:rsidP="00F11A24">
      <w:pPr>
        <w:spacing w:after="0"/>
        <w:rPr>
          <w:sz w:val="18"/>
          <w:szCs w:val="18"/>
        </w:rPr>
      </w:pPr>
      <w:r>
        <w:rPr>
          <w:sz w:val="18"/>
          <w:szCs w:val="18"/>
        </w:rPr>
        <w:t>3 bis</w:t>
      </w:r>
      <w:r w:rsidR="00135BA5">
        <w:rPr>
          <w:sz w:val="18"/>
          <w:szCs w:val="18"/>
        </w:rPr>
        <w:t xml:space="preserve"> rue</w:t>
      </w:r>
      <w:r>
        <w:rPr>
          <w:sz w:val="18"/>
          <w:szCs w:val="18"/>
        </w:rPr>
        <w:t xml:space="preserve"> de l’Eglise – 78800 HOUILLES </w:t>
      </w:r>
    </w:p>
    <w:p w:rsidR="004346AD" w:rsidRPr="00F11A24" w:rsidRDefault="005042E1" w:rsidP="00F11A24">
      <w:pPr>
        <w:spacing w:after="0"/>
        <w:rPr>
          <w:sz w:val="18"/>
          <w:szCs w:val="18"/>
        </w:rPr>
      </w:pPr>
      <w:r w:rsidRPr="00F11A24">
        <w:rPr>
          <w:sz w:val="18"/>
          <w:szCs w:val="18"/>
        </w:rPr>
        <w:t>Tél</w:t>
      </w:r>
      <w:r w:rsidR="00F11A24">
        <w:rPr>
          <w:sz w:val="18"/>
          <w:szCs w:val="18"/>
        </w:rPr>
        <w:t> : 01 61 30 03 73</w:t>
      </w:r>
      <w:r w:rsidRPr="00F11A24">
        <w:rPr>
          <w:sz w:val="18"/>
          <w:szCs w:val="18"/>
        </w:rPr>
        <w:t xml:space="preserve"> – </w:t>
      </w:r>
      <w:r w:rsidR="00F11A24">
        <w:rPr>
          <w:color w:val="0000FF"/>
          <w:sz w:val="18"/>
          <w:szCs w:val="18"/>
        </w:rPr>
        <w:t>centreovillois@orpi.com</w:t>
      </w:r>
      <w:r w:rsidRPr="00F11A24">
        <w:rPr>
          <w:color w:val="0000FF"/>
          <w:sz w:val="18"/>
          <w:szCs w:val="18"/>
        </w:rPr>
        <w:t xml:space="preserve"> </w:t>
      </w:r>
      <w:r w:rsidRPr="00F11A24">
        <w:rPr>
          <w:sz w:val="18"/>
          <w:szCs w:val="18"/>
        </w:rPr>
        <w:t xml:space="preserve">SARL au capital de 10.000 € - APE 6831Z – RC Versailles 797 975 901 00019 – Carte Professionnelle </w:t>
      </w:r>
      <w:proofErr w:type="spellStart"/>
      <w:r w:rsidRPr="00F11A24">
        <w:rPr>
          <w:sz w:val="18"/>
          <w:szCs w:val="18"/>
        </w:rPr>
        <w:t>n°CPI</w:t>
      </w:r>
      <w:proofErr w:type="spellEnd"/>
      <w:r w:rsidRPr="00F11A24">
        <w:rPr>
          <w:sz w:val="18"/>
          <w:szCs w:val="18"/>
        </w:rPr>
        <w:t xml:space="preserve"> 7801 2018 000 027 753 Délivrée par la </w:t>
      </w:r>
      <w:bookmarkStart w:id="0" w:name="_GoBack"/>
      <w:bookmarkEnd w:id="0"/>
      <w:r w:rsidRPr="00F11A24">
        <w:rPr>
          <w:sz w:val="18"/>
          <w:szCs w:val="18"/>
        </w:rPr>
        <w:t>CCI de paris Île-de-France – Caisse de garantie : SOCAF Montant 120.000 € - Chaque agence est juridiquement et financièrement indépendante.</w:t>
      </w:r>
    </w:p>
    <w:sectPr w:rsidR="004346AD" w:rsidRPr="00F11A24" w:rsidSect="006570D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D3"/>
    <w:rsid w:val="00135BA5"/>
    <w:rsid w:val="00256963"/>
    <w:rsid w:val="003A1295"/>
    <w:rsid w:val="004346AD"/>
    <w:rsid w:val="005042E1"/>
    <w:rsid w:val="006570D3"/>
    <w:rsid w:val="007C2E34"/>
    <w:rsid w:val="00A17CEA"/>
    <w:rsid w:val="00B10210"/>
    <w:rsid w:val="00F11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570D3"/>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auNormal"/>
    <w:uiPriority w:val="46"/>
    <w:rsid w:val="006570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5DarkAccent3">
    <w:name w:val="List Table 5 Dark Accent 3"/>
    <w:basedOn w:val="TableauNormal"/>
    <w:uiPriority w:val="50"/>
    <w:rsid w:val="006570D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auNormal"/>
    <w:uiPriority w:val="51"/>
    <w:rsid w:val="006570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auNormal"/>
    <w:uiPriority w:val="47"/>
    <w:rsid w:val="006570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edebulles">
    <w:name w:val="Balloon Text"/>
    <w:basedOn w:val="Normal"/>
    <w:link w:val="TextedebullesCar"/>
    <w:uiPriority w:val="99"/>
    <w:semiHidden/>
    <w:unhideWhenUsed/>
    <w:rsid w:val="007C2E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2E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570D3"/>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auNormal"/>
    <w:uiPriority w:val="46"/>
    <w:rsid w:val="006570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5DarkAccent3">
    <w:name w:val="List Table 5 Dark Accent 3"/>
    <w:basedOn w:val="TableauNormal"/>
    <w:uiPriority w:val="50"/>
    <w:rsid w:val="006570D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auNormal"/>
    <w:uiPriority w:val="51"/>
    <w:rsid w:val="006570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auNormal"/>
    <w:uiPriority w:val="47"/>
    <w:rsid w:val="006570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edebulles">
    <w:name w:val="Balloon Text"/>
    <w:basedOn w:val="Normal"/>
    <w:link w:val="TextedebullesCar"/>
    <w:uiPriority w:val="99"/>
    <w:semiHidden/>
    <w:unhideWhenUsed/>
    <w:rsid w:val="007C2E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2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44715-9502-42DA-9573-1DC5E62C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OrpiA</dc:creator>
  <cp:lastModifiedBy>Négociateurs</cp:lastModifiedBy>
  <cp:revision>2</cp:revision>
  <dcterms:created xsi:type="dcterms:W3CDTF">2025-09-16T12:51:00Z</dcterms:created>
  <dcterms:modified xsi:type="dcterms:W3CDTF">2025-09-16T12:51:00Z</dcterms:modified>
</cp:coreProperties>
</file>